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7CB1" w14:textId="5BB9B51A" w:rsidR="00F96CAD" w:rsidRPr="00F96CAD" w:rsidRDefault="00F96CAD" w:rsidP="00F96CAD">
      <w:pPr>
        <w:spacing w:after="0" w:line="45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</w:pPr>
      <w:r w:rsidRPr="00F96CAD">
        <w:rPr>
          <w:rFonts w:ascii="inherit" w:eastAsia="Times New Roman" w:hAnsi="inherit" w:cs="Times New Roman"/>
          <w:b/>
          <w:bCs/>
          <w:color w:val="2F5496" w:themeColor="accent1" w:themeShade="BF"/>
          <w:kern w:val="36"/>
          <w:sz w:val="45"/>
          <w:szCs w:val="45"/>
          <w:lang w:eastAsia="it-IT"/>
        </w:rPr>
        <w:t>Coordinatore per la sicurezza</w:t>
      </w:r>
    </w:p>
    <w:tbl>
      <w:tblPr>
        <w:tblW w:w="11341" w:type="dxa"/>
        <w:tblCellSpacing w:w="15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8867"/>
      </w:tblGrid>
      <w:tr w:rsidR="003355AD" w:rsidRPr="00F96CAD" w14:paraId="2F7A0215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73140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Durata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91868" w14:textId="77777777" w:rsidR="00F96CAD" w:rsidRPr="00F96CAD" w:rsidRDefault="00F96CAD" w:rsidP="00F96CAD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F96CAD">
              <w:rPr>
                <w:rStyle w:val="Riferimentointenso"/>
                <w:lang w:eastAsia="it-IT"/>
              </w:rPr>
              <w:t>120 ore</w:t>
            </w:r>
          </w:p>
        </w:tc>
      </w:tr>
      <w:tr w:rsidR="003355AD" w:rsidRPr="00F96CAD" w14:paraId="5A38441E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EB139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1D07E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Fornire competenze per svolgere il ruolo di Coordinatore per la Sicurezza, ai sensi dell'art. 98 </w:t>
            </w:r>
            <w:proofErr w:type="spellStart"/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D.Lgs.</w:t>
            </w:r>
            <w:proofErr w:type="spellEnd"/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81/08</w:t>
            </w:r>
          </w:p>
        </w:tc>
      </w:tr>
      <w:tr w:rsidR="003355AD" w:rsidRPr="00F96CAD" w14:paraId="78F10963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A24A4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Destinatari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C7714" w14:textId="77777777" w:rsidR="00F96CAD" w:rsidRPr="00F96CAD" w:rsidRDefault="00F96CAD" w:rsidP="00F96CAD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F96CAD">
              <w:rPr>
                <w:rStyle w:val="Riferimentointenso"/>
                <w:lang w:eastAsia="it-IT"/>
              </w:rPr>
              <w:t xml:space="preserve">Tutti coloro che, in possesso di un titolo di studio di cui all'art. 98, comma 1, </w:t>
            </w:r>
            <w:proofErr w:type="spellStart"/>
            <w:r w:rsidRPr="00F96CAD">
              <w:rPr>
                <w:rStyle w:val="Riferimentointenso"/>
                <w:lang w:eastAsia="it-IT"/>
              </w:rPr>
              <w:t>D.Lgs.</w:t>
            </w:r>
            <w:proofErr w:type="spellEnd"/>
            <w:r w:rsidRPr="00F96CAD">
              <w:rPr>
                <w:rStyle w:val="Riferimentointenso"/>
                <w:lang w:eastAsia="it-IT"/>
              </w:rPr>
              <w:t xml:space="preserve"> 81/08, intendono iniziare il percorso formativo finalizzato a svolgere funzioni di CSP/CSE ai sensi del d.lgs. 81/2008</w:t>
            </w:r>
          </w:p>
        </w:tc>
      </w:tr>
      <w:tr w:rsidR="003355AD" w:rsidRPr="00F96CAD" w14:paraId="093ACB02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213F9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3ECFA" w14:textId="77777777" w:rsidR="00AF2992" w:rsidRPr="00AF2992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u w:val="single" w:color="4472C4" w:themeColor="accent1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Ai sensi dell'art. 98 e dell'Allegato XIV D.LS: 81/08, il corso di suddivide in due parti: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u w:val="double" w:color="4472C4" w:themeColor="accent1"/>
                <w:lang w:eastAsia="it-IT"/>
              </w:rPr>
              <w:t>PARTE TEORICA (96 ore)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 xml:space="preserve"> </w:t>
            </w:r>
          </w:p>
          <w:p w14:paraId="7E0D179A" w14:textId="11298C6C" w:rsidR="00AF2992" w:rsidRPr="001C3F29" w:rsidRDefault="00F96CAD" w:rsidP="00AF299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</w:pPr>
            <w:r w:rsidRPr="001C3F29"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  <w:t>Modulo Giuridico per complessive 28 ore</w:t>
            </w:r>
          </w:p>
          <w:p w14:paraId="01FCBE57" w14:textId="77777777" w:rsidR="00AF2992" w:rsidRPr="00AF2992" w:rsidRDefault="00AF2992" w:rsidP="00AF2992">
            <w:pPr>
              <w:pStyle w:val="Paragrafoelenco"/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</w:p>
          <w:p w14:paraId="1E3A1F50" w14:textId="77777777" w:rsidR="00AF2992" w:rsidRPr="001C3F29" w:rsidRDefault="00AF2992" w:rsidP="00F96C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</w:pPr>
            <w:r w:rsidRPr="001C3F29"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  <w:t>Modulo</w:t>
            </w:r>
            <w:r w:rsidR="00F96CAD" w:rsidRPr="001C3F29"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  <w:t xml:space="preserve"> Tecnico per complessive 52 ore</w:t>
            </w:r>
          </w:p>
          <w:p w14:paraId="36D00B11" w14:textId="77777777" w:rsidR="00AF2992" w:rsidRPr="00AF2992" w:rsidRDefault="00AF2992" w:rsidP="00AF2992">
            <w:pPr>
              <w:pStyle w:val="Paragrafoelenc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</w:p>
          <w:p w14:paraId="6D950C04" w14:textId="76D9A75D" w:rsidR="00AF2992" w:rsidRPr="001C3F29" w:rsidRDefault="00F96CAD" w:rsidP="00F96CA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</w:pPr>
            <w:r w:rsidRPr="001C3F29">
              <w:rPr>
                <w:rFonts w:ascii="Open Sans Condensed" w:eastAsia="Times New Roman" w:hAnsi="Open Sans Condensed" w:cs="Times New Roman"/>
                <w:color w:val="000000"/>
                <w:u w:val="thick" w:color="4472C4" w:themeColor="accent1"/>
                <w:lang w:eastAsia="it-IT"/>
              </w:rPr>
              <w:t>Modulo Metodologico/organizzativo per complessive 16 ore</w:t>
            </w:r>
          </w:p>
          <w:p w14:paraId="09FAEC38" w14:textId="77777777" w:rsidR="00AF2992" w:rsidRPr="00AF2992" w:rsidRDefault="00AF2992" w:rsidP="00AF2992">
            <w:pPr>
              <w:pStyle w:val="Paragrafoelenco"/>
              <w:rPr>
                <w:rFonts w:ascii="Open Sans Condensed" w:eastAsia="Times New Roman" w:hAnsi="Open Sans Condensed" w:cs="Times New Roman"/>
                <w:color w:val="000000"/>
                <w:u w:val="double" w:color="4472C4" w:themeColor="accent1"/>
                <w:lang w:eastAsia="it-IT"/>
              </w:rPr>
            </w:pPr>
          </w:p>
          <w:p w14:paraId="34C51EC9" w14:textId="3E4EBC27" w:rsidR="00F96CAD" w:rsidRPr="00AF2992" w:rsidRDefault="00F96CAD" w:rsidP="00AF2992">
            <w:pPr>
              <w:pStyle w:val="Paragrafoelenco"/>
              <w:spacing w:after="0" w:line="240" w:lineRule="auto"/>
              <w:ind w:left="36"/>
              <w:rPr>
                <w:rFonts w:ascii="Open Sans Condensed" w:eastAsia="Times New Roman" w:hAnsi="Open Sans Condensed" w:cs="Times New Roman"/>
                <w:color w:val="000000"/>
                <w:u w:val="single" w:color="4472C4" w:themeColor="accent1"/>
                <w:lang w:eastAsia="it-IT"/>
              </w:rPr>
            </w:pPr>
            <w:r w:rsidRPr="00AF2992">
              <w:rPr>
                <w:rFonts w:ascii="Open Sans Condensed" w:eastAsia="Times New Roman" w:hAnsi="Open Sans Condensed" w:cs="Times New Roman"/>
                <w:color w:val="000000"/>
                <w:u w:val="double" w:color="4472C4" w:themeColor="accent1"/>
                <w:lang w:eastAsia="it-IT"/>
              </w:rPr>
              <w:t>PARTE PRATICA (24 ore)</w:t>
            </w:r>
            <w:r w:rsidRPr="00AF2992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F2992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Esempi di Piano di Sicurezza e Coordinamento: presentazione dei progetti, discussione sull'analisi dei rischi legati all'area, all'organizzazione del cantiere, alle lavorazioni ed alle loro interferenze; Stesura di Piani di Sicurezza e Coordinamento, con particolare riferimento a rischi legati all'area,</w:t>
            </w:r>
            <w:r w:rsidRPr="00AF2992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AF2992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all'organizzazione del cantiere, alle lavorazioni ed alle loro interferenze; Lavori di gruppo; Esempi di Piani Operativi di Sicurezza e di Piani Sostitutivi di Sicurezza; Esempi e stesura di fascicolo basati sugli stessi casi dei Piano di Sicurezza e Coordinamento; Simulazione sul ruolo del Coordinatore per la Sicurezza in fase di esecuzione.</w:t>
            </w:r>
          </w:p>
        </w:tc>
      </w:tr>
      <w:tr w:rsidR="003355AD" w:rsidRPr="00F96CAD" w14:paraId="17C4702B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AB1DE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Metodologia/Strategia didattica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65694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Attività frontale d’aula con esercitazioni pratiche.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Esecuzione diretta da parte di tutti i partecipanti di attività pratiche o tecniche.</w:t>
            </w:r>
          </w:p>
        </w:tc>
      </w:tr>
      <w:tr w:rsidR="003355AD" w:rsidRPr="00F96CAD" w14:paraId="05BD0CB1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FD399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Valutazione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57458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Al termine del percorso formativo di ciascun Modulo, previa frequenza di almeno il 90% delle ore di formazione, verrà effettuata una prova di verifica obbligatoria (test e colloqui).</w:t>
            </w:r>
          </w:p>
        </w:tc>
      </w:tr>
      <w:tr w:rsidR="003355AD" w:rsidRPr="00F96CAD" w14:paraId="02835F06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CA909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Obbligatorio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D83BA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SI</w:t>
            </w:r>
          </w:p>
        </w:tc>
      </w:tr>
      <w:tr w:rsidR="003355AD" w:rsidRPr="00F96CAD" w14:paraId="2F3C042F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1249A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Risultati attesi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5DCFF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delle competenze;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Diffusione della cultura della sicurezza;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Miglioramento e perfezionamento del sistema di controllo in materia di sicurezza.</w:t>
            </w:r>
          </w:p>
        </w:tc>
      </w:tr>
      <w:tr w:rsidR="003355AD" w:rsidRPr="00F96CAD" w14:paraId="4A16CD22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95CA9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Aggiornamento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49437" w14:textId="096562BF" w:rsidR="00F96CAD" w:rsidRPr="00F96CAD" w:rsidRDefault="00F96CAD" w:rsidP="00F96CAD">
            <w:pPr>
              <w:spacing w:after="0" w:line="240" w:lineRule="auto"/>
              <w:rPr>
                <w:rStyle w:val="Riferimentointenso"/>
                <w:lang w:eastAsia="it-IT"/>
              </w:rPr>
            </w:pPr>
            <w:r w:rsidRPr="003355AD">
              <w:rPr>
                <w:rStyle w:val="Riferimentointenso"/>
              </w:rPr>
              <w:t>Ogni 5 anni</w:t>
            </w:r>
          </w:p>
        </w:tc>
      </w:tr>
      <w:tr w:rsidR="003355AD" w:rsidRPr="00F96CAD" w14:paraId="24042EF6" w14:textId="77777777" w:rsidTr="00DC3AA0">
        <w:trPr>
          <w:tblCellSpacing w:w="15" w:type="dxa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8724F" w14:textId="77777777" w:rsidR="00F96CAD" w:rsidRPr="00F96CAD" w:rsidRDefault="00F96CAD" w:rsidP="00F96CAD">
            <w:pPr>
              <w:spacing w:after="0" w:line="240" w:lineRule="auto"/>
              <w:jc w:val="right"/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b/>
                <w:bCs/>
                <w:color w:val="000000"/>
                <w:lang w:eastAsia="it-IT"/>
              </w:rPr>
              <w:t>E-learning</w:t>
            </w:r>
          </w:p>
        </w:tc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D2D5D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61C31" w14:textId="77777777" w:rsidR="00F96CAD" w:rsidRPr="00F96CAD" w:rsidRDefault="00F96CAD" w:rsidP="00F96CAD">
            <w:pPr>
              <w:spacing w:after="0" w:line="240" w:lineRule="auto"/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</w:pP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E' possibile effettuare in modalità e-learning: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Modulo Giuridico (28 ore)</w:t>
            </w:r>
            <w:r w:rsidRPr="00F96CAD">
              <w:rPr>
                <w:rFonts w:ascii="inherit" w:eastAsia="Times New Roman" w:hAnsi="inherit" w:cs="Times New Roman"/>
                <w:color w:val="000000"/>
                <w:lang w:eastAsia="it-IT"/>
              </w:rPr>
              <w:br/>
            </w:r>
            <w:r w:rsidRPr="00F96CAD">
              <w:rPr>
                <w:rFonts w:ascii="Open Sans Condensed" w:eastAsia="Times New Roman" w:hAnsi="Open Sans Condensed" w:cs="Times New Roman"/>
                <w:color w:val="000000"/>
                <w:lang w:eastAsia="it-IT"/>
              </w:rPr>
              <w:t>- Corso di aggiornamento (40 ore)</w:t>
            </w:r>
          </w:p>
        </w:tc>
      </w:tr>
    </w:tbl>
    <w:p w14:paraId="6091A218" w14:textId="77777777" w:rsidR="005D02EC" w:rsidRDefault="005D02EC"/>
    <w:sectPr w:rsidR="005D02EC" w:rsidSect="00AE4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6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F58D" w14:textId="77777777" w:rsidR="00A04675" w:rsidRDefault="00A04675" w:rsidP="00AE444A">
      <w:pPr>
        <w:spacing w:after="0" w:line="240" w:lineRule="auto"/>
      </w:pPr>
      <w:r>
        <w:separator/>
      </w:r>
    </w:p>
  </w:endnote>
  <w:endnote w:type="continuationSeparator" w:id="0">
    <w:p w14:paraId="638DBA00" w14:textId="77777777" w:rsidR="00A04675" w:rsidRDefault="00A04675" w:rsidP="00AE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1FC9" w14:textId="77777777" w:rsidR="00227DFD" w:rsidRDefault="00227D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286A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</w:rPr>
    </w:pPr>
    <w:r w:rsidRPr="00C44750">
      <w:rPr>
        <w:rFonts w:cstheme="minorHAnsi"/>
        <w:color w:val="44546A" w:themeColor="text2"/>
        <w:sz w:val="20"/>
      </w:rPr>
      <w:t>Via Unità Italiana, 19 - 81100 CASERTA</w:t>
    </w:r>
  </w:p>
  <w:p w14:paraId="23CB0F60" w14:textId="77777777" w:rsidR="00AE444A" w:rsidRPr="00C44750" w:rsidRDefault="00AE444A" w:rsidP="00AE444A">
    <w:pPr>
      <w:pStyle w:val="Pidipagina"/>
      <w:jc w:val="center"/>
      <w:rPr>
        <w:rFonts w:cstheme="minorHAnsi"/>
        <w:color w:val="44546A" w:themeColor="text2"/>
        <w:sz w:val="20"/>
        <w:lang w:val="en-GB"/>
      </w:rPr>
    </w:pPr>
    <w:r w:rsidRPr="00C44750">
      <w:rPr>
        <w:rFonts w:cstheme="minorHAnsi"/>
        <w:color w:val="44546A" w:themeColor="text2"/>
        <w:sz w:val="20"/>
        <w:lang w:val="en-GB"/>
      </w:rPr>
      <w:t>TEL. 0823.896656</w:t>
    </w:r>
    <w:r w:rsidRPr="00C44750">
      <w:rPr>
        <w:rFonts w:cstheme="minorHAnsi"/>
        <w:color w:val="44546A" w:themeColor="text2"/>
        <w:sz w:val="20"/>
        <w:lang w:val="en-GB"/>
      </w:rPr>
      <w:tab/>
    </w:r>
    <w:hyperlink r:id="rId1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info@cfscaserta.it</w:t>
      </w:r>
    </w:hyperlink>
    <w:r w:rsidRPr="00C44750">
      <w:rPr>
        <w:rFonts w:cstheme="minorHAnsi"/>
        <w:color w:val="44546A" w:themeColor="text2"/>
        <w:sz w:val="20"/>
        <w:lang w:val="en-GB"/>
      </w:rPr>
      <w:tab/>
    </w:r>
    <w:hyperlink r:id="rId2" w:history="1">
      <w:r w:rsidRPr="00C44750">
        <w:rPr>
          <w:rStyle w:val="Collegamentoipertestuale"/>
          <w:rFonts w:cstheme="minorHAnsi"/>
          <w:color w:val="44546A" w:themeColor="text2"/>
          <w:sz w:val="20"/>
          <w:lang w:val="en-GB"/>
        </w:rPr>
        <w:t>www.cfscaserta.it</w:t>
      </w:r>
    </w:hyperlink>
  </w:p>
  <w:p w14:paraId="40199771" w14:textId="77777777" w:rsidR="00AE444A" w:rsidRDefault="00AE444A" w:rsidP="00AE444A">
    <w:pPr>
      <w:pStyle w:val="Pidipagina"/>
    </w:pPr>
  </w:p>
  <w:p w14:paraId="2BFED724" w14:textId="77777777" w:rsidR="00AE444A" w:rsidRDefault="00AE4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3F77" w14:textId="77777777" w:rsidR="00227DFD" w:rsidRDefault="00227D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8535" w14:textId="77777777" w:rsidR="00A04675" w:rsidRDefault="00A04675" w:rsidP="00AE444A">
      <w:pPr>
        <w:spacing w:after="0" w:line="240" w:lineRule="auto"/>
      </w:pPr>
      <w:r>
        <w:separator/>
      </w:r>
    </w:p>
  </w:footnote>
  <w:footnote w:type="continuationSeparator" w:id="0">
    <w:p w14:paraId="71BF0C81" w14:textId="77777777" w:rsidR="00A04675" w:rsidRDefault="00A04675" w:rsidP="00AE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49EC" w14:textId="77777777" w:rsidR="00227DFD" w:rsidRDefault="00227D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10F7" w14:textId="53391F91" w:rsidR="00AE444A" w:rsidRDefault="00AE44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867E" w14:textId="77777777" w:rsidR="00227DFD" w:rsidRDefault="00227D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5" type="#_x0000_t75" style="width:11.25pt;height:11.25pt" o:bullet="t">
        <v:imagedata r:id="rId1" o:title="msoAE58"/>
      </v:shape>
    </w:pict>
  </w:numPicBullet>
  <w:abstractNum w:abstractNumId="0" w15:restartNumberingAfterBreak="0">
    <w:nsid w:val="1BA94B77"/>
    <w:multiLevelType w:val="hybridMultilevel"/>
    <w:tmpl w:val="BFA82C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4A"/>
    <w:rsid w:val="000740A5"/>
    <w:rsid w:val="001C3F29"/>
    <w:rsid w:val="00227DFD"/>
    <w:rsid w:val="00302624"/>
    <w:rsid w:val="003355AD"/>
    <w:rsid w:val="005D02EC"/>
    <w:rsid w:val="005F3D23"/>
    <w:rsid w:val="00A04675"/>
    <w:rsid w:val="00AE444A"/>
    <w:rsid w:val="00AF2992"/>
    <w:rsid w:val="00DC3AA0"/>
    <w:rsid w:val="00F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FE615"/>
  <w15:chartTrackingRefBased/>
  <w15:docId w15:val="{7FDB4FC2-15DD-4F49-91D5-B88DF28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E4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4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4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AE444A"/>
    <w:rPr>
      <w:b/>
      <w:bCs/>
      <w:smallCaps/>
      <w:color w:val="4472C4" w:themeColor="accent1"/>
      <w:spacing w:val="5"/>
    </w:rPr>
  </w:style>
  <w:style w:type="character" w:styleId="Enfasiintensa">
    <w:name w:val="Intense Emphasis"/>
    <w:basedOn w:val="Carpredefinitoparagrafo"/>
    <w:uiPriority w:val="21"/>
    <w:qFormat/>
    <w:rsid w:val="00AE444A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4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44A"/>
  </w:style>
  <w:style w:type="paragraph" w:styleId="Pidipagina">
    <w:name w:val="footer"/>
    <w:basedOn w:val="Normale"/>
    <w:link w:val="PidipaginaCarattere"/>
    <w:uiPriority w:val="99"/>
    <w:unhideWhenUsed/>
    <w:rsid w:val="00A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44A"/>
  </w:style>
  <w:style w:type="character" w:styleId="Collegamentoipertestuale">
    <w:name w:val="Hyperlink"/>
    <w:basedOn w:val="Carpredefinitoparagrafo"/>
    <w:uiPriority w:val="99"/>
    <w:unhideWhenUsed/>
    <w:rsid w:val="00AE44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4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scaserta.it" TargetMode="External"/><Relationship Id="rId1" Type="http://schemas.openxmlformats.org/officeDocument/2006/relationships/hyperlink" Target="mailto:info@cfscasert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C160-2D5F-4716-85A7-2AD2F96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2022-11-07T08:45:00Z</dcterms:created>
  <dcterms:modified xsi:type="dcterms:W3CDTF">2022-12-06T13:01:00Z</dcterms:modified>
</cp:coreProperties>
</file>